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96D" w:rsidRDefault="00EA096D">
      <w:bookmarkStart w:id="0" w:name="_GoBack"/>
      <w:bookmarkEnd w:id="0"/>
      <w:r w:rsidRPr="00AF3E51">
        <w:t>A liberal arts foundation enhances the potential that MSU graduates will be outstanding leaders and life-long learners. These liberal learning goals</w:t>
      </w:r>
      <w:r>
        <w:t>, associated outcomes, and linked global competencies</w:t>
      </w:r>
      <w:r w:rsidRPr="00AF3E51">
        <w:t xml:space="preserve"> are intended to provide a framework for students’ active engagement in learning both in and out of the classroom.  Students who complete an undergraduate degree program at Michigan State University will demonstrate the knowledge, attitudes and skills associated with the following interconnected goals and outcomes:</w:t>
      </w:r>
    </w:p>
    <w:p w:rsidR="00EA096D" w:rsidRDefault="00EA096D"/>
    <w:tbl>
      <w:tblPr>
        <w:tblStyle w:val="TableGrid"/>
        <w:tblW w:w="0" w:type="auto"/>
        <w:tblLook w:val="04A0" w:firstRow="1" w:lastRow="0" w:firstColumn="1" w:lastColumn="0" w:noHBand="0" w:noVBand="1"/>
      </w:tblPr>
      <w:tblGrid>
        <w:gridCol w:w="3078"/>
        <w:gridCol w:w="3780"/>
        <w:gridCol w:w="4050"/>
      </w:tblGrid>
      <w:tr w:rsidR="006D3742" w:rsidTr="00447BBA">
        <w:trPr>
          <w:cantSplit/>
          <w:tblHeader/>
        </w:trPr>
        <w:tc>
          <w:tcPr>
            <w:tcW w:w="3078" w:type="dxa"/>
            <w:shd w:val="clear" w:color="auto" w:fill="000000" w:themeFill="text1"/>
          </w:tcPr>
          <w:p w:rsidR="006D3742" w:rsidRPr="006D3742" w:rsidRDefault="00556C73" w:rsidP="006D3742">
            <w:pPr>
              <w:jc w:val="center"/>
              <w:rPr>
                <w:b/>
                <w:color w:val="FFFFFF" w:themeColor="background1"/>
              </w:rPr>
            </w:pPr>
            <w:r>
              <w:rPr>
                <w:b/>
                <w:color w:val="FFFFFF" w:themeColor="background1"/>
              </w:rPr>
              <w:t>Institutional</w:t>
            </w:r>
            <w:r w:rsidR="006D3742">
              <w:rPr>
                <w:b/>
                <w:color w:val="FFFFFF" w:themeColor="background1"/>
              </w:rPr>
              <w:t xml:space="preserve"> Learning Goal</w:t>
            </w:r>
          </w:p>
        </w:tc>
        <w:tc>
          <w:tcPr>
            <w:tcW w:w="3780" w:type="dxa"/>
            <w:shd w:val="clear" w:color="auto" w:fill="000000" w:themeFill="text1"/>
          </w:tcPr>
          <w:p w:rsidR="006D3742" w:rsidRPr="006D3742" w:rsidRDefault="00767069" w:rsidP="006D3742">
            <w:pPr>
              <w:jc w:val="center"/>
              <w:rPr>
                <w:b/>
                <w:color w:val="FFFFFF" w:themeColor="background1"/>
              </w:rPr>
            </w:pPr>
            <w:r>
              <w:rPr>
                <w:b/>
                <w:color w:val="FFFFFF" w:themeColor="background1"/>
              </w:rPr>
              <w:t>Undergraduate</w:t>
            </w:r>
            <w:r w:rsidR="006D3742">
              <w:rPr>
                <w:b/>
                <w:color w:val="FFFFFF" w:themeColor="background1"/>
              </w:rPr>
              <w:t xml:space="preserve"> Learning Outcome</w:t>
            </w:r>
          </w:p>
        </w:tc>
        <w:tc>
          <w:tcPr>
            <w:tcW w:w="4050" w:type="dxa"/>
            <w:shd w:val="clear" w:color="auto" w:fill="000000" w:themeFill="text1"/>
          </w:tcPr>
          <w:p w:rsidR="006D3742" w:rsidRPr="006D3742" w:rsidRDefault="006D3742" w:rsidP="006D3742">
            <w:pPr>
              <w:jc w:val="center"/>
              <w:rPr>
                <w:b/>
                <w:color w:val="FFFFFF" w:themeColor="background1"/>
              </w:rPr>
            </w:pPr>
            <w:r>
              <w:rPr>
                <w:b/>
                <w:color w:val="FFFFFF" w:themeColor="background1"/>
              </w:rPr>
              <w:t>Global Competency</w:t>
            </w:r>
          </w:p>
        </w:tc>
      </w:tr>
      <w:tr w:rsidR="006D3742" w:rsidTr="00447BBA">
        <w:trPr>
          <w:cantSplit/>
          <w:trHeight w:val="3581"/>
        </w:trPr>
        <w:tc>
          <w:tcPr>
            <w:tcW w:w="3078" w:type="dxa"/>
          </w:tcPr>
          <w:p w:rsidR="006D3742" w:rsidRPr="000917C5" w:rsidRDefault="006D3742">
            <w:pPr>
              <w:rPr>
                <w:b/>
              </w:rPr>
            </w:pPr>
            <w:r w:rsidRPr="000917C5">
              <w:rPr>
                <w:b/>
              </w:rPr>
              <w:t>Analytical Thinking</w:t>
            </w:r>
          </w:p>
          <w:p w:rsidR="000917C5" w:rsidRPr="00CC0A96" w:rsidRDefault="000917C5" w:rsidP="000917C5">
            <w:pPr>
              <w:shd w:val="clear" w:color="auto" w:fill="FFFFFF"/>
              <w:spacing w:after="240"/>
              <w:rPr>
                <w:rFonts w:asciiTheme="minorHAnsi" w:eastAsia="Times New Roman" w:hAnsiTheme="minorHAnsi" w:cs="Tahoma"/>
                <w:sz w:val="20"/>
                <w:szCs w:val="20"/>
              </w:rPr>
            </w:pPr>
            <w:r w:rsidRPr="00CC0A96">
              <w:rPr>
                <w:rFonts w:asciiTheme="minorHAnsi" w:eastAsia="Times New Roman" w:hAnsiTheme="minorHAnsi" w:cs="Tahoma"/>
                <w:sz w:val="20"/>
                <w:szCs w:val="20"/>
              </w:rPr>
              <w:t>The MSU graduate uses ways of knowing from mathematics, natural sciences, social sciences, humanities, and arts to access information and critically analyzes complex material in order to evaluate evidence, construct reasoned arguments, and communicate inferences and conclusions</w:t>
            </w:r>
          </w:p>
          <w:p w:rsidR="000917C5" w:rsidRDefault="000917C5"/>
        </w:tc>
        <w:tc>
          <w:tcPr>
            <w:tcW w:w="3780" w:type="dxa"/>
          </w:tcPr>
          <w:p w:rsidR="000917C5" w:rsidRPr="000917C5" w:rsidRDefault="000917C5" w:rsidP="000917C5">
            <w:pPr>
              <w:pStyle w:val="ListParagraph"/>
              <w:numPr>
                <w:ilvl w:val="0"/>
                <w:numId w:val="13"/>
              </w:numPr>
              <w:ind w:left="432"/>
              <w:rPr>
                <w:sz w:val="20"/>
                <w:szCs w:val="20"/>
              </w:rPr>
            </w:pPr>
            <w:r w:rsidRPr="000917C5">
              <w:rPr>
                <w:sz w:val="20"/>
                <w:szCs w:val="20"/>
              </w:rPr>
              <w:t>Acquires, analyzes, and evaluates information from multiple sources</w:t>
            </w:r>
          </w:p>
          <w:p w:rsidR="000917C5" w:rsidRPr="000917C5" w:rsidRDefault="000917C5" w:rsidP="000917C5">
            <w:pPr>
              <w:pStyle w:val="ListParagraph"/>
              <w:numPr>
                <w:ilvl w:val="0"/>
                <w:numId w:val="13"/>
              </w:numPr>
              <w:ind w:left="432"/>
              <w:rPr>
                <w:sz w:val="20"/>
                <w:szCs w:val="20"/>
              </w:rPr>
            </w:pPr>
            <w:r w:rsidRPr="000917C5">
              <w:rPr>
                <w:sz w:val="20"/>
                <w:szCs w:val="20"/>
              </w:rPr>
              <w:t>Synthesizes and applies the information within and across disciplines</w:t>
            </w:r>
          </w:p>
          <w:p w:rsidR="000917C5" w:rsidRPr="000917C5" w:rsidRDefault="000917C5" w:rsidP="000917C5">
            <w:pPr>
              <w:pStyle w:val="ListParagraph"/>
              <w:numPr>
                <w:ilvl w:val="0"/>
                <w:numId w:val="13"/>
              </w:numPr>
              <w:ind w:left="432"/>
              <w:rPr>
                <w:sz w:val="20"/>
                <w:szCs w:val="20"/>
              </w:rPr>
            </w:pPr>
            <w:r w:rsidRPr="000917C5">
              <w:rPr>
                <w:sz w:val="20"/>
                <w:szCs w:val="20"/>
              </w:rPr>
              <w:t>Identifies and applies, as appropriate, quantitative methods for defining and responding to problems</w:t>
            </w:r>
          </w:p>
          <w:p w:rsidR="000917C5" w:rsidRPr="000917C5" w:rsidRDefault="000917C5" w:rsidP="000917C5">
            <w:pPr>
              <w:pStyle w:val="ListParagraph"/>
              <w:numPr>
                <w:ilvl w:val="0"/>
                <w:numId w:val="13"/>
              </w:numPr>
              <w:ind w:left="432"/>
              <w:rPr>
                <w:sz w:val="20"/>
                <w:szCs w:val="20"/>
              </w:rPr>
            </w:pPr>
            <w:r w:rsidRPr="000917C5">
              <w:rPr>
                <w:sz w:val="20"/>
                <w:szCs w:val="20"/>
              </w:rPr>
              <w:t>Identifies the credibility, use and misuse of scientific, humanistic and artistic methods</w:t>
            </w:r>
          </w:p>
          <w:p w:rsidR="006D3742" w:rsidRPr="000917C5" w:rsidRDefault="006D3742" w:rsidP="000917C5">
            <w:pPr>
              <w:ind w:left="432"/>
              <w:rPr>
                <w:sz w:val="20"/>
                <w:szCs w:val="20"/>
              </w:rPr>
            </w:pPr>
          </w:p>
        </w:tc>
        <w:tc>
          <w:tcPr>
            <w:tcW w:w="4050" w:type="dxa"/>
          </w:tcPr>
          <w:p w:rsidR="006D3742" w:rsidRPr="000917C5" w:rsidRDefault="006D3742" w:rsidP="000917C5">
            <w:pPr>
              <w:pStyle w:val="ListParagraph"/>
              <w:numPr>
                <w:ilvl w:val="0"/>
                <w:numId w:val="10"/>
              </w:numPr>
              <w:ind w:left="378"/>
              <w:rPr>
                <w:rFonts w:asciiTheme="minorHAnsi" w:hAnsiTheme="minorHAnsi"/>
                <w:sz w:val="20"/>
              </w:rPr>
            </w:pPr>
            <w:r w:rsidRPr="000917C5">
              <w:rPr>
                <w:rFonts w:asciiTheme="minorHAnsi" w:hAnsiTheme="minorHAnsi"/>
                <w:sz w:val="20"/>
              </w:rPr>
              <w:t>Understand</w:t>
            </w:r>
            <w:r w:rsidR="002A02AF">
              <w:rPr>
                <w:rFonts w:asciiTheme="minorHAnsi" w:hAnsiTheme="minorHAnsi"/>
                <w:sz w:val="20"/>
              </w:rPr>
              <w:t>s</w:t>
            </w:r>
            <w:r w:rsidRPr="000917C5">
              <w:rPr>
                <w:rFonts w:asciiTheme="minorHAnsi" w:hAnsiTheme="minorHAnsi"/>
                <w:sz w:val="20"/>
              </w:rPr>
              <w:t xml:space="preserve"> the complexity and interconnectedness of global processes—such as environment, trade, and human health—and </w:t>
            </w:r>
            <w:r w:rsidR="002A02AF">
              <w:rPr>
                <w:rFonts w:asciiTheme="minorHAnsi" w:hAnsiTheme="minorHAnsi"/>
                <w:sz w:val="20"/>
              </w:rPr>
              <w:t>is</w:t>
            </w:r>
            <w:r w:rsidRPr="000917C5">
              <w:rPr>
                <w:rFonts w:asciiTheme="minorHAnsi" w:hAnsiTheme="minorHAnsi"/>
                <w:sz w:val="20"/>
              </w:rPr>
              <w:t xml:space="preserve"> able to critically analyze them, as well as compare and contrast them across different cultures and contexts. </w:t>
            </w:r>
          </w:p>
          <w:p w:rsidR="006D3742" w:rsidRPr="000917C5" w:rsidRDefault="006D3742" w:rsidP="000917C5">
            <w:pPr>
              <w:pStyle w:val="ListParagraph"/>
              <w:numPr>
                <w:ilvl w:val="0"/>
                <w:numId w:val="10"/>
              </w:numPr>
              <w:ind w:left="378"/>
              <w:rPr>
                <w:rFonts w:asciiTheme="minorHAnsi" w:hAnsiTheme="minorHAnsi"/>
                <w:sz w:val="20"/>
              </w:rPr>
            </w:pPr>
            <w:r w:rsidRPr="000917C5">
              <w:rPr>
                <w:rFonts w:asciiTheme="minorHAnsi" w:hAnsiTheme="minorHAnsi"/>
                <w:sz w:val="20"/>
              </w:rPr>
              <w:t>Synthesize</w:t>
            </w:r>
            <w:r w:rsidR="002A02AF">
              <w:rPr>
                <w:rFonts w:asciiTheme="minorHAnsi" w:hAnsiTheme="minorHAnsi"/>
                <w:sz w:val="20"/>
              </w:rPr>
              <w:t>s</w:t>
            </w:r>
            <w:r w:rsidRPr="000917C5">
              <w:rPr>
                <w:rFonts w:asciiTheme="minorHAnsi" w:hAnsiTheme="minorHAnsi"/>
                <w:sz w:val="20"/>
              </w:rPr>
              <w:t xml:space="preserve"> knowledge and meaning from multiple sources to enhance decision-making in diverse contexts. </w:t>
            </w:r>
          </w:p>
          <w:p w:rsidR="006D3742" w:rsidRDefault="006D3742" w:rsidP="000917C5">
            <w:pPr>
              <w:pStyle w:val="ListParagraph"/>
              <w:numPr>
                <w:ilvl w:val="0"/>
                <w:numId w:val="10"/>
              </w:numPr>
              <w:ind w:left="378"/>
              <w:rPr>
                <w:rFonts w:asciiTheme="minorHAnsi" w:hAnsiTheme="minorHAnsi"/>
                <w:sz w:val="20"/>
              </w:rPr>
            </w:pPr>
            <w:r w:rsidRPr="000917C5">
              <w:rPr>
                <w:rFonts w:asciiTheme="minorHAnsi" w:hAnsiTheme="minorHAnsi"/>
                <w:sz w:val="20"/>
              </w:rPr>
              <w:t>Use</w:t>
            </w:r>
            <w:r w:rsidR="002A02AF">
              <w:rPr>
                <w:rFonts w:asciiTheme="minorHAnsi" w:hAnsiTheme="minorHAnsi"/>
                <w:sz w:val="20"/>
              </w:rPr>
              <w:t>s</w:t>
            </w:r>
            <w:r w:rsidRPr="000917C5">
              <w:rPr>
                <w:rFonts w:asciiTheme="minorHAnsi" w:hAnsiTheme="minorHAnsi"/>
                <w:sz w:val="20"/>
              </w:rPr>
              <w:t xml:space="preserve"> technology, human and natural capital, information resources, and diverse ways of knowing to solve problems</w:t>
            </w:r>
            <w:r w:rsidR="000917C5">
              <w:rPr>
                <w:rFonts w:asciiTheme="minorHAnsi" w:hAnsiTheme="minorHAnsi"/>
                <w:sz w:val="20"/>
              </w:rPr>
              <w:t>.</w:t>
            </w:r>
          </w:p>
          <w:p w:rsidR="001F7188" w:rsidRPr="001F7188" w:rsidRDefault="001F7188" w:rsidP="001F7188">
            <w:pPr>
              <w:ind w:left="18"/>
              <w:rPr>
                <w:rFonts w:asciiTheme="minorHAnsi" w:hAnsiTheme="minorHAnsi"/>
                <w:sz w:val="20"/>
              </w:rPr>
            </w:pPr>
          </w:p>
        </w:tc>
      </w:tr>
      <w:tr w:rsidR="006D3742" w:rsidTr="00447BBA">
        <w:trPr>
          <w:cantSplit/>
        </w:trPr>
        <w:tc>
          <w:tcPr>
            <w:tcW w:w="3078" w:type="dxa"/>
          </w:tcPr>
          <w:p w:rsidR="006D3742" w:rsidRDefault="006D3742">
            <w:pPr>
              <w:rPr>
                <w:b/>
              </w:rPr>
            </w:pPr>
            <w:r w:rsidRPr="000917C5">
              <w:rPr>
                <w:b/>
              </w:rPr>
              <w:t>Cultural Understanding</w:t>
            </w:r>
          </w:p>
          <w:p w:rsidR="000917C5" w:rsidRPr="000917C5" w:rsidRDefault="000917C5">
            <w:pPr>
              <w:rPr>
                <w:b/>
              </w:rPr>
            </w:pPr>
            <w:r w:rsidRPr="00CC0A96">
              <w:rPr>
                <w:rFonts w:asciiTheme="minorHAnsi" w:eastAsia="Times New Roman" w:hAnsiTheme="minorHAnsi" w:cs="Tahoma"/>
                <w:sz w:val="20"/>
                <w:szCs w:val="20"/>
              </w:rPr>
              <w:t>The MSU graduate comprehends global and cultural diversity within historical, artistic, and societal contexts</w:t>
            </w:r>
          </w:p>
        </w:tc>
        <w:tc>
          <w:tcPr>
            <w:tcW w:w="3780" w:type="dxa"/>
          </w:tcPr>
          <w:p w:rsidR="000917C5" w:rsidRPr="000917C5" w:rsidRDefault="000917C5" w:rsidP="000917C5">
            <w:pPr>
              <w:pStyle w:val="ListParagraph"/>
              <w:numPr>
                <w:ilvl w:val="0"/>
                <w:numId w:val="13"/>
              </w:numPr>
              <w:ind w:left="432"/>
              <w:rPr>
                <w:sz w:val="20"/>
                <w:szCs w:val="20"/>
              </w:rPr>
            </w:pPr>
            <w:r w:rsidRPr="000917C5">
              <w:rPr>
                <w:sz w:val="20"/>
                <w:szCs w:val="20"/>
              </w:rPr>
              <w:t>Reflects on experiences with diversity to demonstrate knowledge and sensitivity</w:t>
            </w:r>
          </w:p>
          <w:p w:rsidR="000917C5" w:rsidRPr="000917C5" w:rsidRDefault="000917C5" w:rsidP="000917C5">
            <w:pPr>
              <w:pStyle w:val="ListParagraph"/>
              <w:numPr>
                <w:ilvl w:val="0"/>
                <w:numId w:val="13"/>
              </w:numPr>
              <w:ind w:left="432"/>
              <w:rPr>
                <w:sz w:val="20"/>
                <w:szCs w:val="20"/>
              </w:rPr>
            </w:pPr>
            <w:r w:rsidRPr="000917C5">
              <w:rPr>
                <w:sz w:val="20"/>
                <w:szCs w:val="20"/>
              </w:rPr>
              <w:t>Demonstrates awareness of how diversity emerges within and across cultures</w:t>
            </w:r>
            <w:r w:rsidRPr="000917C5">
              <w:rPr>
                <w:i/>
                <w:iCs/>
                <w:sz w:val="20"/>
                <w:szCs w:val="20"/>
              </w:rPr>
              <w:t xml:space="preserve"> </w:t>
            </w:r>
          </w:p>
          <w:p w:rsidR="006D3742" w:rsidRPr="000917C5" w:rsidRDefault="006D3742" w:rsidP="000917C5">
            <w:pPr>
              <w:ind w:left="432"/>
              <w:rPr>
                <w:sz w:val="20"/>
                <w:szCs w:val="20"/>
              </w:rPr>
            </w:pPr>
          </w:p>
        </w:tc>
        <w:tc>
          <w:tcPr>
            <w:tcW w:w="4050" w:type="dxa"/>
          </w:tcPr>
          <w:p w:rsidR="006D3742" w:rsidRPr="000917C5"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Understand</w:t>
            </w:r>
            <w:r w:rsidR="002A02AF">
              <w:rPr>
                <w:rFonts w:asciiTheme="minorHAnsi" w:hAnsiTheme="minorHAnsi"/>
                <w:sz w:val="20"/>
              </w:rPr>
              <w:t>s</w:t>
            </w:r>
            <w:r w:rsidRPr="000917C5">
              <w:rPr>
                <w:rFonts w:asciiTheme="minorHAnsi" w:hAnsiTheme="minorHAnsi"/>
                <w:sz w:val="20"/>
              </w:rPr>
              <w:t xml:space="preserve"> the influence of history, geography, religion, gender, race, ethnicity, and other factors on their identities and the identities of others. </w:t>
            </w:r>
          </w:p>
          <w:p w:rsidR="006D3742" w:rsidRPr="000917C5"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Recognize</w:t>
            </w:r>
            <w:r w:rsidR="002A02AF">
              <w:rPr>
                <w:rFonts w:asciiTheme="minorHAnsi" w:hAnsiTheme="minorHAnsi"/>
                <w:sz w:val="20"/>
              </w:rPr>
              <w:t>s</w:t>
            </w:r>
            <w:r w:rsidRPr="000917C5">
              <w:rPr>
                <w:rFonts w:asciiTheme="minorHAnsi" w:hAnsiTheme="minorHAnsi"/>
                <w:sz w:val="20"/>
              </w:rPr>
              <w:t xml:space="preserve"> the commonalities and differences that exist among people and cultures and how these factors influence their relationships with others. </w:t>
            </w:r>
          </w:p>
          <w:p w:rsidR="006D3742" w:rsidRPr="000917C5"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Question</w:t>
            </w:r>
            <w:r w:rsidR="002A02AF">
              <w:rPr>
                <w:rFonts w:asciiTheme="minorHAnsi" w:hAnsiTheme="minorHAnsi"/>
                <w:sz w:val="20"/>
              </w:rPr>
              <w:t>s</w:t>
            </w:r>
            <w:r w:rsidRPr="000917C5">
              <w:rPr>
                <w:rFonts w:asciiTheme="minorHAnsi" w:hAnsiTheme="minorHAnsi"/>
                <w:sz w:val="20"/>
              </w:rPr>
              <w:t xml:space="preserve"> explicit and implicit forms of power, privilege, inequality, and inequity. </w:t>
            </w:r>
          </w:p>
          <w:p w:rsidR="006D3742" w:rsidRDefault="006D3742" w:rsidP="002A02AF">
            <w:pPr>
              <w:pStyle w:val="ListParagraph"/>
              <w:numPr>
                <w:ilvl w:val="0"/>
                <w:numId w:val="9"/>
              </w:numPr>
              <w:ind w:left="378"/>
              <w:rPr>
                <w:rFonts w:asciiTheme="minorHAnsi" w:hAnsiTheme="minorHAnsi"/>
                <w:sz w:val="20"/>
              </w:rPr>
            </w:pPr>
            <w:r w:rsidRPr="000917C5">
              <w:rPr>
                <w:rFonts w:asciiTheme="minorHAnsi" w:hAnsiTheme="minorHAnsi"/>
                <w:sz w:val="20"/>
              </w:rPr>
              <w:t>Engage</w:t>
            </w:r>
            <w:r w:rsidR="002A02AF">
              <w:rPr>
                <w:rFonts w:asciiTheme="minorHAnsi" w:hAnsiTheme="minorHAnsi"/>
                <w:sz w:val="20"/>
              </w:rPr>
              <w:t>s</w:t>
            </w:r>
            <w:r w:rsidRPr="000917C5">
              <w:rPr>
                <w:rFonts w:asciiTheme="minorHAnsi" w:hAnsiTheme="minorHAnsi"/>
                <w:sz w:val="20"/>
              </w:rPr>
              <w:t xml:space="preserve"> with and </w:t>
            </w:r>
            <w:r w:rsidR="002A02AF">
              <w:rPr>
                <w:rFonts w:asciiTheme="minorHAnsi" w:hAnsiTheme="minorHAnsi"/>
                <w:sz w:val="20"/>
              </w:rPr>
              <w:t xml:space="preserve">is </w:t>
            </w:r>
            <w:r w:rsidRPr="000917C5">
              <w:rPr>
                <w:rFonts w:asciiTheme="minorHAnsi" w:hAnsiTheme="minorHAnsi"/>
                <w:sz w:val="20"/>
              </w:rPr>
              <w:t>open to people, ideas, and activities from other cultures as a means of personal and professional development.</w:t>
            </w:r>
          </w:p>
          <w:p w:rsidR="001F7188" w:rsidRPr="001F7188" w:rsidRDefault="001F7188" w:rsidP="001F7188">
            <w:pPr>
              <w:ind w:left="18"/>
              <w:rPr>
                <w:rFonts w:asciiTheme="minorHAnsi" w:hAnsiTheme="minorHAnsi"/>
                <w:sz w:val="20"/>
              </w:rPr>
            </w:pPr>
          </w:p>
        </w:tc>
      </w:tr>
      <w:tr w:rsidR="006D3742" w:rsidTr="00447BBA">
        <w:trPr>
          <w:cantSplit/>
        </w:trPr>
        <w:tc>
          <w:tcPr>
            <w:tcW w:w="3078" w:type="dxa"/>
          </w:tcPr>
          <w:p w:rsidR="006D3742" w:rsidRPr="000917C5" w:rsidRDefault="006D3742">
            <w:pPr>
              <w:rPr>
                <w:b/>
              </w:rPr>
            </w:pPr>
            <w:r w:rsidRPr="000917C5">
              <w:rPr>
                <w:b/>
              </w:rPr>
              <w:t>Effective Citizenship</w:t>
            </w:r>
          </w:p>
          <w:p w:rsidR="000917C5" w:rsidRDefault="00990CCE">
            <w:r>
              <w:rPr>
                <w:rFonts w:asciiTheme="minorHAnsi" w:eastAsia="Times New Roman" w:hAnsiTheme="minorHAnsi" w:cs="Tahoma"/>
                <w:sz w:val="20"/>
                <w:szCs w:val="20"/>
              </w:rPr>
              <w:t>T</w:t>
            </w:r>
            <w:r w:rsidR="000917C5" w:rsidRPr="00CC0A96">
              <w:rPr>
                <w:rFonts w:asciiTheme="minorHAnsi" w:eastAsia="Times New Roman" w:hAnsiTheme="minorHAnsi" w:cs="Tahoma"/>
                <w:sz w:val="20"/>
                <w:szCs w:val="20"/>
              </w:rPr>
              <w:t>he MSU graduate participates as a member of local, national, and global communities and has the capacity to lead in an increasingly interdependent world</w:t>
            </w:r>
          </w:p>
        </w:tc>
        <w:tc>
          <w:tcPr>
            <w:tcW w:w="3780" w:type="dxa"/>
          </w:tcPr>
          <w:p w:rsidR="000917C5" w:rsidRPr="00CC0A96" w:rsidRDefault="000917C5" w:rsidP="002179DE">
            <w:pPr>
              <w:numPr>
                <w:ilvl w:val="0"/>
                <w:numId w:val="14"/>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Understands the structures of local, national, and global governance systems and acts effectively within those structures in both individual and collaborative ways</w:t>
            </w:r>
          </w:p>
          <w:p w:rsidR="000917C5" w:rsidRPr="00CC0A96" w:rsidRDefault="000917C5" w:rsidP="002179DE">
            <w:pPr>
              <w:numPr>
                <w:ilvl w:val="0"/>
                <w:numId w:val="14"/>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Applies knowledge and abilities to solve societal problems in ethical ways</w:t>
            </w:r>
          </w:p>
          <w:p w:rsidR="006D3742" w:rsidRPr="000917C5" w:rsidRDefault="006D3742" w:rsidP="002179DE">
            <w:pPr>
              <w:ind w:left="342"/>
              <w:rPr>
                <w:sz w:val="20"/>
              </w:rPr>
            </w:pPr>
          </w:p>
        </w:tc>
        <w:tc>
          <w:tcPr>
            <w:tcW w:w="4050" w:type="dxa"/>
          </w:tcPr>
          <w:p w:rsidR="006D3742" w:rsidRPr="000917C5"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Develop</w:t>
            </w:r>
            <w:r w:rsidR="002A02AF">
              <w:rPr>
                <w:rFonts w:asciiTheme="minorHAnsi" w:hAnsiTheme="minorHAnsi"/>
                <w:sz w:val="20"/>
              </w:rPr>
              <w:t>s</w:t>
            </w:r>
            <w:r w:rsidRPr="000917C5">
              <w:rPr>
                <w:rFonts w:asciiTheme="minorHAnsi" w:hAnsiTheme="minorHAnsi"/>
                <w:sz w:val="20"/>
              </w:rPr>
              <w:t xml:space="preserve"> a personal sense of ethics, service, and civic responsibility that informs their decision-making about social and global issues. </w:t>
            </w:r>
          </w:p>
          <w:p w:rsidR="006D3742" w:rsidRPr="000917C5"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Understand</w:t>
            </w:r>
            <w:r w:rsidR="002A02AF">
              <w:rPr>
                <w:rFonts w:asciiTheme="minorHAnsi" w:hAnsiTheme="minorHAnsi"/>
                <w:sz w:val="20"/>
              </w:rPr>
              <w:t>s</w:t>
            </w:r>
            <w:r w:rsidRPr="000917C5">
              <w:rPr>
                <w:rFonts w:asciiTheme="minorHAnsi" w:hAnsiTheme="minorHAnsi"/>
                <w:sz w:val="20"/>
              </w:rPr>
              <w:t xml:space="preserve"> the connection between their personal behavior and its impact on global systems. </w:t>
            </w:r>
          </w:p>
          <w:p w:rsidR="006D3742" w:rsidRDefault="006D3742" w:rsidP="000917C5">
            <w:pPr>
              <w:pStyle w:val="ListParagraph"/>
              <w:numPr>
                <w:ilvl w:val="0"/>
                <w:numId w:val="9"/>
              </w:numPr>
              <w:ind w:left="378"/>
              <w:rPr>
                <w:rFonts w:asciiTheme="minorHAnsi" w:hAnsiTheme="minorHAnsi"/>
                <w:sz w:val="20"/>
              </w:rPr>
            </w:pPr>
            <w:r w:rsidRPr="000917C5">
              <w:rPr>
                <w:rFonts w:asciiTheme="minorHAnsi" w:hAnsiTheme="minorHAnsi"/>
                <w:sz w:val="20"/>
              </w:rPr>
              <w:t>Use</w:t>
            </w:r>
            <w:r w:rsidR="002A02AF">
              <w:rPr>
                <w:rFonts w:asciiTheme="minorHAnsi" w:hAnsiTheme="minorHAnsi"/>
                <w:sz w:val="20"/>
              </w:rPr>
              <w:t>s</w:t>
            </w:r>
            <w:r w:rsidRPr="000917C5">
              <w:rPr>
                <w:rFonts w:asciiTheme="minorHAnsi" w:hAnsiTheme="minorHAnsi"/>
                <w:sz w:val="20"/>
              </w:rPr>
              <w:t xml:space="preserve"> their knowledge, attitudes, and skills to engage with issues that address challenges facing humanity locally and globally. </w:t>
            </w:r>
          </w:p>
          <w:p w:rsidR="001F7188" w:rsidRPr="001F7188" w:rsidRDefault="001F7188" w:rsidP="001F7188">
            <w:pPr>
              <w:ind w:left="18"/>
              <w:rPr>
                <w:rFonts w:asciiTheme="minorHAnsi" w:hAnsiTheme="minorHAnsi"/>
                <w:sz w:val="20"/>
              </w:rPr>
            </w:pPr>
          </w:p>
        </w:tc>
      </w:tr>
      <w:tr w:rsidR="006D3742" w:rsidTr="00447BBA">
        <w:trPr>
          <w:cantSplit/>
        </w:trPr>
        <w:tc>
          <w:tcPr>
            <w:tcW w:w="3078" w:type="dxa"/>
          </w:tcPr>
          <w:p w:rsidR="006D3742" w:rsidRPr="000917C5" w:rsidRDefault="006D3742">
            <w:pPr>
              <w:rPr>
                <w:b/>
              </w:rPr>
            </w:pPr>
            <w:bookmarkStart w:id="1" w:name="_Hlk279651021"/>
            <w:r w:rsidRPr="000917C5">
              <w:rPr>
                <w:b/>
              </w:rPr>
              <w:lastRenderedPageBreak/>
              <w:t>Effective Communication</w:t>
            </w:r>
          </w:p>
          <w:p w:rsidR="000917C5" w:rsidRPr="00CC0A96" w:rsidRDefault="000917C5" w:rsidP="000917C5">
            <w:pPr>
              <w:shd w:val="clear" w:color="auto" w:fill="FFFFFF"/>
              <w:spacing w:after="240"/>
              <w:rPr>
                <w:rFonts w:asciiTheme="minorHAnsi" w:eastAsia="Times New Roman" w:hAnsiTheme="minorHAnsi" w:cs="Tahoma"/>
                <w:sz w:val="20"/>
                <w:szCs w:val="20"/>
              </w:rPr>
            </w:pPr>
            <w:r w:rsidRPr="00CC0A96">
              <w:rPr>
                <w:rFonts w:asciiTheme="minorHAnsi" w:eastAsia="Times New Roman" w:hAnsiTheme="minorHAnsi" w:cs="Tahoma"/>
                <w:sz w:val="20"/>
                <w:szCs w:val="20"/>
              </w:rPr>
              <w:t>The MSU graduate uses a variety of media to communicate effectively with diverse audiences</w:t>
            </w:r>
          </w:p>
          <w:p w:rsidR="000917C5" w:rsidRDefault="000917C5"/>
        </w:tc>
        <w:tc>
          <w:tcPr>
            <w:tcW w:w="3780" w:type="dxa"/>
          </w:tcPr>
          <w:p w:rsidR="002179DE" w:rsidRPr="00CC0A96" w:rsidRDefault="002179DE" w:rsidP="002179DE">
            <w:pPr>
              <w:numPr>
                <w:ilvl w:val="0"/>
                <w:numId w:val="16"/>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Identifies how contexts affect communication strategies and practices</w:t>
            </w:r>
          </w:p>
          <w:p w:rsidR="002179DE" w:rsidRPr="00CC0A96" w:rsidRDefault="002179DE" w:rsidP="002179DE">
            <w:pPr>
              <w:numPr>
                <w:ilvl w:val="0"/>
                <w:numId w:val="16"/>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Engages in effective communication practices in a variety of situations and with a variety of media</w:t>
            </w:r>
          </w:p>
          <w:p w:rsidR="006D3742" w:rsidRPr="000917C5" w:rsidRDefault="006D3742" w:rsidP="002179DE">
            <w:pPr>
              <w:ind w:left="342"/>
              <w:rPr>
                <w:sz w:val="20"/>
              </w:rPr>
            </w:pPr>
          </w:p>
        </w:tc>
        <w:tc>
          <w:tcPr>
            <w:tcW w:w="4050" w:type="dxa"/>
          </w:tcPr>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Recognize</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the influence of cultural norms, customs, and traditions on communication and use</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this knowledge to enhance their interactions across diversity. </w:t>
            </w:r>
          </w:p>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Employ</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a proficiency in a second language and understand</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how language relates to culture. </w:t>
            </w:r>
          </w:p>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Use</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observation, conflict management, dialogue, and active listening as means of understanding and engaging with different people and perspectives. </w:t>
            </w:r>
          </w:p>
          <w:p w:rsidR="006D3742"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Communicate</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their ideas and values clearly and effectively in multiple contexts, with diverse audiences, and via appropriate media and formats. </w:t>
            </w:r>
          </w:p>
          <w:p w:rsidR="002179DE" w:rsidRPr="002179DE" w:rsidRDefault="002179DE" w:rsidP="002179DE">
            <w:pPr>
              <w:rPr>
                <w:rFonts w:asciiTheme="minorHAnsi" w:eastAsia="Times New Roman" w:hAnsiTheme="minorHAnsi" w:cs="Tahoma"/>
                <w:sz w:val="20"/>
              </w:rPr>
            </w:pPr>
          </w:p>
        </w:tc>
      </w:tr>
      <w:tr w:rsidR="006D3742" w:rsidTr="00447BBA">
        <w:trPr>
          <w:cantSplit/>
        </w:trPr>
        <w:tc>
          <w:tcPr>
            <w:tcW w:w="3078" w:type="dxa"/>
          </w:tcPr>
          <w:p w:rsidR="000917C5" w:rsidRDefault="000917C5">
            <w:pPr>
              <w:rPr>
                <w:b/>
              </w:rPr>
            </w:pPr>
            <w:r w:rsidRPr="000917C5">
              <w:rPr>
                <w:b/>
              </w:rPr>
              <w:t>Integrated Reasoning</w:t>
            </w:r>
          </w:p>
          <w:p w:rsidR="000917C5" w:rsidRPr="000917C5" w:rsidRDefault="000917C5">
            <w:r w:rsidRPr="00CC0A96">
              <w:rPr>
                <w:rFonts w:asciiTheme="minorHAnsi" w:eastAsia="Times New Roman" w:hAnsiTheme="minorHAnsi" w:cs="Tahoma"/>
                <w:sz w:val="20"/>
                <w:szCs w:val="20"/>
              </w:rPr>
              <w:t>The MSU graduate integrates discipline-based knowledge to make informed decisions that reflect humane social, ethical, and aesthetic values</w:t>
            </w:r>
          </w:p>
        </w:tc>
        <w:tc>
          <w:tcPr>
            <w:tcW w:w="3780" w:type="dxa"/>
          </w:tcPr>
          <w:p w:rsidR="000917C5" w:rsidRPr="00CC0A96" w:rsidRDefault="000917C5" w:rsidP="002179DE">
            <w:pPr>
              <w:numPr>
                <w:ilvl w:val="0"/>
                <w:numId w:val="15"/>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Critically applies liberal arts knowledge in disciplinary contexts and disciplinary knowledge in liberal arts contexts</w:t>
            </w:r>
          </w:p>
          <w:p w:rsidR="000917C5" w:rsidRPr="00CC0A96" w:rsidRDefault="000917C5" w:rsidP="002179DE">
            <w:pPr>
              <w:numPr>
                <w:ilvl w:val="0"/>
                <w:numId w:val="15"/>
              </w:numPr>
              <w:shd w:val="clear" w:color="auto" w:fill="FFFFFF"/>
              <w:tabs>
                <w:tab w:val="clear" w:pos="720"/>
              </w:tabs>
              <w:spacing w:before="100" w:beforeAutospacing="1" w:after="120"/>
              <w:ind w:left="342"/>
              <w:rPr>
                <w:rFonts w:asciiTheme="minorHAnsi" w:eastAsia="Times New Roman" w:hAnsiTheme="minorHAnsi" w:cs="Tahoma"/>
                <w:sz w:val="20"/>
                <w:szCs w:val="20"/>
              </w:rPr>
            </w:pPr>
            <w:r w:rsidRPr="00CC0A96">
              <w:rPr>
                <w:rFonts w:asciiTheme="minorHAnsi" w:eastAsia="Times New Roman" w:hAnsiTheme="minorHAnsi" w:cs="Tahoma"/>
                <w:sz w:val="20"/>
                <w:szCs w:val="20"/>
              </w:rPr>
              <w:t>Uses a variety of inquiry strategies incorporating multiple views to make value judgments, solve problems, answer questions, and generate new understandings</w:t>
            </w:r>
          </w:p>
          <w:p w:rsidR="006D3742" w:rsidRPr="000917C5" w:rsidRDefault="006D3742" w:rsidP="002179DE">
            <w:pPr>
              <w:ind w:left="342"/>
              <w:rPr>
                <w:sz w:val="20"/>
              </w:rPr>
            </w:pPr>
          </w:p>
        </w:tc>
        <w:tc>
          <w:tcPr>
            <w:tcW w:w="4050" w:type="dxa"/>
          </w:tcPr>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Understand</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their place in the world relative to historical, geopolitical, and intellectual trends, including the geographic, socio-cultural, economic, and ecological influences on these trends. </w:t>
            </w:r>
          </w:p>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Perceive</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the world as an interdependent system, recognizing the effects of this system on their lives and their personal influence on the system. </w:t>
            </w:r>
          </w:p>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Frame</w:t>
            </w:r>
            <w:r w:rsidR="002A02AF">
              <w:rPr>
                <w:rFonts w:asciiTheme="minorHAnsi" w:eastAsia="Times New Roman" w:hAnsiTheme="minorHAnsi" w:cs="Tahoma"/>
                <w:sz w:val="20"/>
              </w:rPr>
              <w:t>s</w:t>
            </w:r>
            <w:r w:rsidRPr="000917C5">
              <w:rPr>
                <w:rFonts w:asciiTheme="minorHAnsi" w:eastAsia="Times New Roman" w:hAnsiTheme="minorHAnsi" w:cs="Tahoma"/>
                <w:sz w:val="20"/>
              </w:rPr>
              <w:t>, understand</w:t>
            </w:r>
            <w:r w:rsidR="002A02AF">
              <w:rPr>
                <w:rFonts w:asciiTheme="minorHAnsi" w:eastAsia="Times New Roman" w:hAnsiTheme="minorHAnsi" w:cs="Tahoma"/>
                <w:sz w:val="20"/>
              </w:rPr>
              <w:t>s</w:t>
            </w:r>
            <w:r w:rsidRPr="000917C5">
              <w:rPr>
                <w:rFonts w:asciiTheme="minorHAnsi" w:eastAsia="Times New Roman" w:hAnsiTheme="minorHAnsi" w:cs="Tahoma"/>
                <w:sz w:val="20"/>
              </w:rPr>
              <w:t>, and act</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upon their judgments from multi-disciplinary perspectives and worldviews. </w:t>
            </w:r>
          </w:p>
          <w:p w:rsidR="006D3742" w:rsidRPr="000917C5"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Understand</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how different disciplines contribute to knowledge of global processes, such as those related to health, food systems, energy and other areas.</w:t>
            </w:r>
          </w:p>
          <w:p w:rsidR="006D3742" w:rsidRDefault="006D3742" w:rsidP="000917C5">
            <w:pPr>
              <w:pStyle w:val="ListParagraph"/>
              <w:numPr>
                <w:ilvl w:val="0"/>
                <w:numId w:val="8"/>
              </w:numPr>
              <w:ind w:left="378"/>
              <w:rPr>
                <w:rFonts w:asciiTheme="minorHAnsi" w:eastAsia="Times New Roman" w:hAnsiTheme="minorHAnsi" w:cs="Tahoma"/>
                <w:sz w:val="20"/>
              </w:rPr>
            </w:pPr>
            <w:r w:rsidRPr="000917C5">
              <w:rPr>
                <w:rFonts w:asciiTheme="minorHAnsi" w:eastAsia="Times New Roman" w:hAnsiTheme="minorHAnsi" w:cs="Tahoma"/>
                <w:sz w:val="20"/>
              </w:rPr>
              <w:t>Understand</w:t>
            </w:r>
            <w:r w:rsidR="002A02AF">
              <w:rPr>
                <w:rFonts w:asciiTheme="minorHAnsi" w:eastAsia="Times New Roman" w:hAnsiTheme="minorHAnsi" w:cs="Tahoma"/>
                <w:sz w:val="20"/>
              </w:rPr>
              <w:t>s</w:t>
            </w:r>
            <w:r w:rsidRPr="000917C5">
              <w:rPr>
                <w:rFonts w:asciiTheme="minorHAnsi" w:eastAsia="Times New Roman" w:hAnsiTheme="minorHAnsi" w:cs="Tahoma"/>
                <w:sz w:val="20"/>
              </w:rPr>
              <w:t xml:space="preserve"> the cultural, disciplinary, and contextual role, potential, and limits of problem-solving techniques and that cultures and disciplines conceptualize data, methodologies, and solutions differently. </w:t>
            </w:r>
          </w:p>
          <w:p w:rsidR="001F7188" w:rsidRPr="000917C5" w:rsidRDefault="001F7188" w:rsidP="001F7188">
            <w:pPr>
              <w:pStyle w:val="ListParagraph"/>
              <w:ind w:left="378"/>
              <w:rPr>
                <w:rFonts w:asciiTheme="minorHAnsi" w:eastAsia="Times New Roman" w:hAnsiTheme="minorHAnsi" w:cs="Tahoma"/>
                <w:sz w:val="20"/>
              </w:rPr>
            </w:pPr>
          </w:p>
        </w:tc>
      </w:tr>
      <w:bookmarkEnd w:id="1"/>
    </w:tbl>
    <w:p w:rsidR="002C4391" w:rsidRDefault="002C4391"/>
    <w:p w:rsidR="001F7188" w:rsidRDefault="001F7188"/>
    <w:p w:rsidR="0053235B" w:rsidRDefault="009B3352" w:rsidP="0053235B">
      <w:r>
        <w:t xml:space="preserve">Support if available from the Office of the Associate Provost for Undergraduate Education. Our staff can assist you with course development and design, assessment, and funding related to </w:t>
      </w:r>
      <w:r w:rsidR="008205FF">
        <w:t>the integration of</w:t>
      </w:r>
      <w:r>
        <w:t xml:space="preserve"> the </w:t>
      </w:r>
      <w:r w:rsidR="00767069">
        <w:t>Undergraduate</w:t>
      </w:r>
      <w:r>
        <w:t xml:space="preserve"> Learning Goals and Global Competencies into your </w:t>
      </w:r>
      <w:r w:rsidR="008205FF">
        <w:t>curriculum</w:t>
      </w:r>
      <w:r>
        <w:t>.</w:t>
      </w:r>
      <w:r w:rsidR="0053235B">
        <w:t xml:space="preserve"> Please contact Dr. James M. Lucas (Jim), Assistant Dean for Global Education &amp; Curriculum, 312 Administration Building, phone: 517-355-0171, email: lucasjam@msu.edu.</w:t>
      </w:r>
    </w:p>
    <w:p w:rsidR="0053235B" w:rsidRDefault="0053235B"/>
    <w:p w:rsidR="0053235B" w:rsidRDefault="0053235B">
      <w:r>
        <w:t xml:space="preserve">For rubrics associated with the ULGs, please visit: </w:t>
      </w:r>
      <w:hyperlink r:id="rId7" w:history="1">
        <w:r w:rsidRPr="003F77DC">
          <w:rPr>
            <w:rStyle w:val="Hyperlink"/>
          </w:rPr>
          <w:t>http://learninggoals.undergrad.msu.edu</w:t>
        </w:r>
      </w:hyperlink>
    </w:p>
    <w:p w:rsidR="0053235B" w:rsidRDefault="0053235B">
      <w:r>
        <w:t xml:space="preserve">    </w:t>
      </w:r>
    </w:p>
    <w:p w:rsidR="001F7188" w:rsidRDefault="001F7188"/>
    <w:p w:rsidR="001F7188" w:rsidRDefault="001F7188"/>
    <w:p w:rsidR="00E27B95" w:rsidRDefault="009F72AF" w:rsidP="001F7188"/>
    <w:sectPr w:rsidR="00E27B95" w:rsidSect="001F718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2AF" w:rsidRDefault="009F72AF" w:rsidP="00DC1261">
      <w:r>
        <w:separator/>
      </w:r>
    </w:p>
  </w:endnote>
  <w:endnote w:type="continuationSeparator" w:id="0">
    <w:p w:rsidR="009F72AF" w:rsidRDefault="009F72AF" w:rsidP="00DC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188" w:rsidRPr="001F7188" w:rsidRDefault="001F7188" w:rsidP="001F7188">
    <w:pPr>
      <w:pStyle w:val="Footer"/>
      <w:rPr>
        <w:sz w:val="18"/>
      </w:rPr>
    </w:pPr>
    <w:r>
      <w:rPr>
        <w:sz w:val="18"/>
      </w:rPr>
      <w:t>11</w:t>
    </w:r>
    <w:r w:rsidRPr="001F7188">
      <w:rPr>
        <w:sz w:val="18"/>
      </w:rPr>
      <w:t>/2010 – Undergraduate Education, Office of the Provost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188" w:rsidRPr="001F7188" w:rsidRDefault="0053235B" w:rsidP="001F7188">
    <w:pPr>
      <w:pStyle w:val="Footer"/>
      <w:rPr>
        <w:sz w:val="18"/>
        <w:szCs w:val="18"/>
      </w:rPr>
    </w:pPr>
    <w:r>
      <w:rPr>
        <w:sz w:val="18"/>
        <w:szCs w:val="18"/>
      </w:rPr>
      <w:t>2</w:t>
    </w:r>
    <w:r w:rsidR="00987628">
      <w:rPr>
        <w:sz w:val="18"/>
        <w:szCs w:val="18"/>
      </w:rPr>
      <w:t>/2014</w:t>
    </w:r>
    <w:r w:rsidR="001F7188" w:rsidRPr="001F7188">
      <w:rPr>
        <w:sz w:val="18"/>
        <w:szCs w:val="18"/>
      </w:rPr>
      <w:t xml:space="preserve"> – Undergraduate Education, Office of the Provost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7C" w:rsidRDefault="00A8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2AF" w:rsidRDefault="009F72AF" w:rsidP="00DC1261">
      <w:r>
        <w:separator/>
      </w:r>
    </w:p>
  </w:footnote>
  <w:footnote w:type="continuationSeparator" w:id="0">
    <w:p w:rsidR="009F72AF" w:rsidRDefault="009F72AF" w:rsidP="00DC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7C" w:rsidRDefault="00A85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D7" w:rsidRPr="00911C14" w:rsidRDefault="00A8547C" w:rsidP="00EB2AD7">
    <w:pPr>
      <w:pStyle w:val="Header"/>
      <w:jc w:val="center"/>
      <w:rPr>
        <w:b/>
        <w:sz w:val="36"/>
      </w:rPr>
    </w:pPr>
    <w:r>
      <w:rPr>
        <w:b/>
        <w:sz w:val="36"/>
      </w:rPr>
      <w:t>Undergraduate</w:t>
    </w:r>
    <w:r w:rsidR="00EB2AD7">
      <w:rPr>
        <w:b/>
        <w:sz w:val="36"/>
      </w:rPr>
      <w:t xml:space="preserve"> Learning </w:t>
    </w:r>
    <w:r w:rsidR="00767069">
      <w:rPr>
        <w:b/>
        <w:sz w:val="36"/>
      </w:rPr>
      <w:t xml:space="preserve">Goals </w:t>
    </w:r>
    <w:r w:rsidR="00EB2AD7">
      <w:rPr>
        <w:b/>
        <w:sz w:val="36"/>
      </w:rPr>
      <w:t>&amp; Global Competence at MSU</w:t>
    </w:r>
  </w:p>
  <w:p w:rsidR="002C4391" w:rsidRPr="00EB2AD7" w:rsidRDefault="002C4391" w:rsidP="00EB2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7C" w:rsidRDefault="00A85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89C"/>
    <w:multiLevelType w:val="hybridMultilevel"/>
    <w:tmpl w:val="632CF268"/>
    <w:lvl w:ilvl="0" w:tplc="71820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332DF"/>
    <w:multiLevelType w:val="hybridMultilevel"/>
    <w:tmpl w:val="632CF268"/>
    <w:lvl w:ilvl="0" w:tplc="71820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B264B"/>
    <w:multiLevelType w:val="multilevel"/>
    <w:tmpl w:val="655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D2A23"/>
    <w:multiLevelType w:val="multilevel"/>
    <w:tmpl w:val="56F2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F15F1"/>
    <w:multiLevelType w:val="hybridMultilevel"/>
    <w:tmpl w:val="C5EE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6BD3"/>
    <w:multiLevelType w:val="hybridMultilevel"/>
    <w:tmpl w:val="7E10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74B0"/>
    <w:multiLevelType w:val="multilevel"/>
    <w:tmpl w:val="AA7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D2F7F"/>
    <w:multiLevelType w:val="multilevel"/>
    <w:tmpl w:val="8ED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A57F9"/>
    <w:multiLevelType w:val="hybridMultilevel"/>
    <w:tmpl w:val="8DB4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93D18"/>
    <w:multiLevelType w:val="multilevel"/>
    <w:tmpl w:val="05C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66E14"/>
    <w:multiLevelType w:val="multilevel"/>
    <w:tmpl w:val="AD0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32D06"/>
    <w:multiLevelType w:val="multilevel"/>
    <w:tmpl w:val="11D0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5530A"/>
    <w:multiLevelType w:val="hybridMultilevel"/>
    <w:tmpl w:val="DEF2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17F29"/>
    <w:multiLevelType w:val="hybridMultilevel"/>
    <w:tmpl w:val="3C68D474"/>
    <w:lvl w:ilvl="0" w:tplc="446C61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8D456E"/>
    <w:multiLevelType w:val="multilevel"/>
    <w:tmpl w:val="97A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57F01"/>
    <w:multiLevelType w:val="multilevel"/>
    <w:tmpl w:val="5FBC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133A8"/>
    <w:multiLevelType w:val="multilevel"/>
    <w:tmpl w:val="C11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B5E7F"/>
    <w:multiLevelType w:val="multilevel"/>
    <w:tmpl w:val="E70C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42E01"/>
    <w:multiLevelType w:val="hybridMultilevel"/>
    <w:tmpl w:val="2B28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2"/>
  </w:num>
  <w:num w:numId="5">
    <w:abstractNumId w:val="10"/>
  </w:num>
  <w:num w:numId="6">
    <w:abstractNumId w:val="7"/>
  </w:num>
  <w:num w:numId="7">
    <w:abstractNumId w:val="8"/>
  </w:num>
  <w:num w:numId="8">
    <w:abstractNumId w:val="18"/>
  </w:num>
  <w:num w:numId="9">
    <w:abstractNumId w:val="4"/>
  </w:num>
  <w:num w:numId="10">
    <w:abstractNumId w:val="12"/>
  </w:num>
  <w:num w:numId="11">
    <w:abstractNumId w:val="14"/>
  </w:num>
  <w:num w:numId="12">
    <w:abstractNumId w:val="9"/>
  </w:num>
  <w:num w:numId="13">
    <w:abstractNumId w:val="5"/>
  </w:num>
  <w:num w:numId="14">
    <w:abstractNumId w:val="16"/>
  </w:num>
  <w:num w:numId="15">
    <w:abstractNumId w:val="17"/>
  </w:num>
  <w:num w:numId="16">
    <w:abstractNumId w:val="15"/>
  </w:num>
  <w:num w:numId="17">
    <w:abstractNumId w:val="13"/>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3742"/>
    <w:rsid w:val="00025DB6"/>
    <w:rsid w:val="0005118E"/>
    <w:rsid w:val="00055765"/>
    <w:rsid w:val="00083B2E"/>
    <w:rsid w:val="00084BAE"/>
    <w:rsid w:val="000917C5"/>
    <w:rsid w:val="000F1CE3"/>
    <w:rsid w:val="001466EF"/>
    <w:rsid w:val="00176B59"/>
    <w:rsid w:val="00197CD3"/>
    <w:rsid w:val="001F7188"/>
    <w:rsid w:val="002179DE"/>
    <w:rsid w:val="00234475"/>
    <w:rsid w:val="00293592"/>
    <w:rsid w:val="002A02AF"/>
    <w:rsid w:val="002A4B6A"/>
    <w:rsid w:val="002C4391"/>
    <w:rsid w:val="00350C7A"/>
    <w:rsid w:val="00367449"/>
    <w:rsid w:val="003F160A"/>
    <w:rsid w:val="00431061"/>
    <w:rsid w:val="00447BBA"/>
    <w:rsid w:val="0053235B"/>
    <w:rsid w:val="00556C73"/>
    <w:rsid w:val="00597AB4"/>
    <w:rsid w:val="005B4EEC"/>
    <w:rsid w:val="005C37C0"/>
    <w:rsid w:val="005D3FC9"/>
    <w:rsid w:val="005E658E"/>
    <w:rsid w:val="00622F23"/>
    <w:rsid w:val="006432E6"/>
    <w:rsid w:val="006A0DCA"/>
    <w:rsid w:val="006C772E"/>
    <w:rsid w:val="006D3742"/>
    <w:rsid w:val="006F4352"/>
    <w:rsid w:val="0071779F"/>
    <w:rsid w:val="00767069"/>
    <w:rsid w:val="007B4EE3"/>
    <w:rsid w:val="008205FF"/>
    <w:rsid w:val="00890257"/>
    <w:rsid w:val="00915F44"/>
    <w:rsid w:val="00927706"/>
    <w:rsid w:val="00972BDC"/>
    <w:rsid w:val="00987628"/>
    <w:rsid w:val="00990CCE"/>
    <w:rsid w:val="009B3352"/>
    <w:rsid w:val="009F72AF"/>
    <w:rsid w:val="00A1430F"/>
    <w:rsid w:val="00A17B28"/>
    <w:rsid w:val="00A65F4A"/>
    <w:rsid w:val="00A841C0"/>
    <w:rsid w:val="00A8547C"/>
    <w:rsid w:val="00C33B47"/>
    <w:rsid w:val="00C43C5C"/>
    <w:rsid w:val="00C479EF"/>
    <w:rsid w:val="00C94F3A"/>
    <w:rsid w:val="00CA554A"/>
    <w:rsid w:val="00CD76BC"/>
    <w:rsid w:val="00CF4415"/>
    <w:rsid w:val="00DB3C89"/>
    <w:rsid w:val="00DC1261"/>
    <w:rsid w:val="00E2600B"/>
    <w:rsid w:val="00E87A6A"/>
    <w:rsid w:val="00EA096D"/>
    <w:rsid w:val="00EB2AD7"/>
    <w:rsid w:val="00EB646A"/>
    <w:rsid w:val="00EE460A"/>
    <w:rsid w:val="00F43F71"/>
    <w:rsid w:val="00F52BB7"/>
    <w:rsid w:val="00F9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A43A2-EE7D-9F4A-82A8-83472299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F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3742"/>
    <w:pPr>
      <w:spacing w:after="240"/>
    </w:pPr>
    <w:rPr>
      <w:rFonts w:ascii="Tahoma" w:eastAsia="Times New Roman" w:hAnsi="Tahoma" w:cs="Tahoma"/>
      <w:sz w:val="20"/>
      <w:szCs w:val="20"/>
    </w:rPr>
  </w:style>
  <w:style w:type="character" w:styleId="Emphasis">
    <w:name w:val="Emphasis"/>
    <w:basedOn w:val="DefaultParagraphFont"/>
    <w:uiPriority w:val="20"/>
    <w:qFormat/>
    <w:rsid w:val="006D3742"/>
    <w:rPr>
      <w:i/>
      <w:iCs/>
    </w:rPr>
  </w:style>
  <w:style w:type="paragraph" w:styleId="ListParagraph">
    <w:name w:val="List Paragraph"/>
    <w:basedOn w:val="Normal"/>
    <w:uiPriority w:val="34"/>
    <w:qFormat/>
    <w:rsid w:val="000917C5"/>
    <w:pPr>
      <w:ind w:left="720"/>
      <w:contextualSpacing/>
    </w:pPr>
  </w:style>
  <w:style w:type="paragraph" w:styleId="Header">
    <w:name w:val="header"/>
    <w:basedOn w:val="Normal"/>
    <w:link w:val="HeaderChar"/>
    <w:uiPriority w:val="99"/>
    <w:unhideWhenUsed/>
    <w:rsid w:val="00DC1261"/>
    <w:pPr>
      <w:tabs>
        <w:tab w:val="center" w:pos="4680"/>
        <w:tab w:val="right" w:pos="9360"/>
      </w:tabs>
    </w:pPr>
  </w:style>
  <w:style w:type="character" w:customStyle="1" w:styleId="HeaderChar">
    <w:name w:val="Header Char"/>
    <w:basedOn w:val="DefaultParagraphFont"/>
    <w:link w:val="Header"/>
    <w:uiPriority w:val="99"/>
    <w:rsid w:val="00DC1261"/>
    <w:rPr>
      <w:rFonts w:ascii="Calibri" w:hAnsi="Calibri" w:cs="Times New Roman"/>
    </w:rPr>
  </w:style>
  <w:style w:type="paragraph" w:styleId="Footer">
    <w:name w:val="footer"/>
    <w:basedOn w:val="Normal"/>
    <w:link w:val="FooterChar"/>
    <w:uiPriority w:val="99"/>
    <w:unhideWhenUsed/>
    <w:rsid w:val="00DC1261"/>
    <w:pPr>
      <w:tabs>
        <w:tab w:val="center" w:pos="4680"/>
        <w:tab w:val="right" w:pos="9360"/>
      </w:tabs>
    </w:pPr>
  </w:style>
  <w:style w:type="character" w:customStyle="1" w:styleId="FooterChar">
    <w:name w:val="Footer Char"/>
    <w:basedOn w:val="DefaultParagraphFont"/>
    <w:link w:val="Footer"/>
    <w:uiPriority w:val="99"/>
    <w:rsid w:val="00DC1261"/>
    <w:rPr>
      <w:rFonts w:ascii="Calibri" w:hAnsi="Calibri" w:cs="Times New Roman"/>
    </w:rPr>
  </w:style>
  <w:style w:type="paragraph" w:styleId="BalloonText">
    <w:name w:val="Balloon Text"/>
    <w:basedOn w:val="Normal"/>
    <w:link w:val="BalloonTextChar"/>
    <w:uiPriority w:val="99"/>
    <w:semiHidden/>
    <w:unhideWhenUsed/>
    <w:rsid w:val="00DC1261"/>
    <w:rPr>
      <w:rFonts w:ascii="Tahoma" w:hAnsi="Tahoma" w:cs="Tahoma"/>
      <w:sz w:val="16"/>
      <w:szCs w:val="16"/>
    </w:rPr>
  </w:style>
  <w:style w:type="character" w:customStyle="1" w:styleId="BalloonTextChar">
    <w:name w:val="Balloon Text Char"/>
    <w:basedOn w:val="DefaultParagraphFont"/>
    <w:link w:val="BalloonText"/>
    <w:uiPriority w:val="99"/>
    <w:semiHidden/>
    <w:rsid w:val="00DC1261"/>
    <w:rPr>
      <w:rFonts w:ascii="Tahoma" w:hAnsi="Tahoma" w:cs="Tahoma"/>
      <w:sz w:val="16"/>
      <w:szCs w:val="16"/>
    </w:rPr>
  </w:style>
  <w:style w:type="character" w:styleId="Hyperlink">
    <w:name w:val="Hyperlink"/>
    <w:basedOn w:val="DefaultParagraphFont"/>
    <w:uiPriority w:val="99"/>
    <w:unhideWhenUsed/>
    <w:rsid w:val="0053235B"/>
    <w:rPr>
      <w:color w:val="0000FF" w:themeColor="hyperlink"/>
      <w:u w:val="single"/>
    </w:rPr>
  </w:style>
  <w:style w:type="character" w:styleId="FollowedHyperlink">
    <w:name w:val="FollowedHyperlink"/>
    <w:basedOn w:val="DefaultParagraphFont"/>
    <w:uiPriority w:val="99"/>
    <w:semiHidden/>
    <w:unhideWhenUsed/>
    <w:rsid w:val="005323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94079">
      <w:bodyDiv w:val="1"/>
      <w:marLeft w:val="0"/>
      <w:marRight w:val="0"/>
      <w:marTop w:val="0"/>
      <w:marBottom w:val="0"/>
      <w:divBdr>
        <w:top w:val="none" w:sz="0" w:space="0" w:color="auto"/>
        <w:left w:val="none" w:sz="0" w:space="0" w:color="auto"/>
        <w:bottom w:val="none" w:sz="0" w:space="0" w:color="auto"/>
        <w:right w:val="none" w:sz="0" w:space="0" w:color="auto"/>
      </w:divBdr>
      <w:divsChild>
        <w:div w:id="113640942">
          <w:marLeft w:val="0"/>
          <w:marRight w:val="0"/>
          <w:marTop w:val="0"/>
          <w:marBottom w:val="0"/>
          <w:divBdr>
            <w:top w:val="none" w:sz="0" w:space="0" w:color="auto"/>
            <w:left w:val="none" w:sz="0" w:space="0" w:color="auto"/>
            <w:bottom w:val="none" w:sz="0" w:space="0" w:color="auto"/>
            <w:right w:val="none" w:sz="0" w:space="0" w:color="auto"/>
          </w:divBdr>
          <w:divsChild>
            <w:div w:id="1455831157">
              <w:marLeft w:val="0"/>
              <w:marRight w:val="0"/>
              <w:marTop w:val="0"/>
              <w:marBottom w:val="0"/>
              <w:divBdr>
                <w:top w:val="none" w:sz="0" w:space="0" w:color="auto"/>
                <w:left w:val="none" w:sz="0" w:space="0" w:color="auto"/>
                <w:bottom w:val="none" w:sz="0" w:space="0" w:color="auto"/>
                <w:right w:val="none" w:sz="0" w:space="0" w:color="auto"/>
              </w:divBdr>
              <w:divsChild>
                <w:div w:id="60522414">
                  <w:marLeft w:val="0"/>
                  <w:marRight w:val="0"/>
                  <w:marTop w:val="333"/>
                  <w:marBottom w:val="0"/>
                  <w:divBdr>
                    <w:top w:val="none" w:sz="0" w:space="0" w:color="auto"/>
                    <w:left w:val="none" w:sz="0" w:space="0" w:color="auto"/>
                    <w:bottom w:val="none" w:sz="0" w:space="0" w:color="auto"/>
                    <w:right w:val="none" w:sz="0" w:space="0" w:color="auto"/>
                  </w:divBdr>
                  <w:divsChild>
                    <w:div w:id="1008368071">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419957645">
      <w:bodyDiv w:val="1"/>
      <w:marLeft w:val="0"/>
      <w:marRight w:val="0"/>
      <w:marTop w:val="0"/>
      <w:marBottom w:val="0"/>
      <w:divBdr>
        <w:top w:val="none" w:sz="0" w:space="0" w:color="auto"/>
        <w:left w:val="none" w:sz="0" w:space="0" w:color="auto"/>
        <w:bottom w:val="none" w:sz="0" w:space="0" w:color="auto"/>
        <w:right w:val="none" w:sz="0" w:space="0" w:color="auto"/>
      </w:divBdr>
      <w:divsChild>
        <w:div w:id="189878015">
          <w:marLeft w:val="0"/>
          <w:marRight w:val="0"/>
          <w:marTop w:val="0"/>
          <w:marBottom w:val="0"/>
          <w:divBdr>
            <w:top w:val="none" w:sz="0" w:space="0" w:color="auto"/>
            <w:left w:val="none" w:sz="0" w:space="0" w:color="auto"/>
            <w:bottom w:val="none" w:sz="0" w:space="0" w:color="auto"/>
            <w:right w:val="none" w:sz="0" w:space="0" w:color="auto"/>
          </w:divBdr>
          <w:divsChild>
            <w:div w:id="1489053145">
              <w:marLeft w:val="0"/>
              <w:marRight w:val="0"/>
              <w:marTop w:val="0"/>
              <w:marBottom w:val="0"/>
              <w:divBdr>
                <w:top w:val="none" w:sz="0" w:space="0" w:color="auto"/>
                <w:left w:val="none" w:sz="0" w:space="0" w:color="auto"/>
                <w:bottom w:val="none" w:sz="0" w:space="0" w:color="auto"/>
                <w:right w:val="none" w:sz="0" w:space="0" w:color="auto"/>
              </w:divBdr>
              <w:divsChild>
                <w:div w:id="2087336192">
                  <w:marLeft w:val="0"/>
                  <w:marRight w:val="0"/>
                  <w:marTop w:val="333"/>
                  <w:marBottom w:val="0"/>
                  <w:divBdr>
                    <w:top w:val="none" w:sz="0" w:space="0" w:color="auto"/>
                    <w:left w:val="none" w:sz="0" w:space="0" w:color="auto"/>
                    <w:bottom w:val="none" w:sz="0" w:space="0" w:color="auto"/>
                    <w:right w:val="none" w:sz="0" w:space="0" w:color="auto"/>
                  </w:divBdr>
                  <w:divsChild>
                    <w:div w:id="62724778">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032345188">
      <w:bodyDiv w:val="1"/>
      <w:marLeft w:val="0"/>
      <w:marRight w:val="0"/>
      <w:marTop w:val="0"/>
      <w:marBottom w:val="0"/>
      <w:divBdr>
        <w:top w:val="none" w:sz="0" w:space="0" w:color="auto"/>
        <w:left w:val="none" w:sz="0" w:space="0" w:color="auto"/>
        <w:bottom w:val="none" w:sz="0" w:space="0" w:color="auto"/>
        <w:right w:val="none" w:sz="0" w:space="0" w:color="auto"/>
      </w:divBdr>
      <w:divsChild>
        <w:div w:id="1713845897">
          <w:marLeft w:val="0"/>
          <w:marRight w:val="0"/>
          <w:marTop w:val="0"/>
          <w:marBottom w:val="0"/>
          <w:divBdr>
            <w:top w:val="none" w:sz="0" w:space="0" w:color="auto"/>
            <w:left w:val="none" w:sz="0" w:space="0" w:color="auto"/>
            <w:bottom w:val="none" w:sz="0" w:space="0" w:color="auto"/>
            <w:right w:val="none" w:sz="0" w:space="0" w:color="auto"/>
          </w:divBdr>
          <w:divsChild>
            <w:div w:id="1656569953">
              <w:marLeft w:val="0"/>
              <w:marRight w:val="0"/>
              <w:marTop w:val="0"/>
              <w:marBottom w:val="0"/>
              <w:divBdr>
                <w:top w:val="none" w:sz="0" w:space="0" w:color="auto"/>
                <w:left w:val="none" w:sz="0" w:space="0" w:color="auto"/>
                <w:bottom w:val="none" w:sz="0" w:space="0" w:color="auto"/>
                <w:right w:val="none" w:sz="0" w:space="0" w:color="auto"/>
              </w:divBdr>
              <w:divsChild>
                <w:div w:id="331106578">
                  <w:marLeft w:val="0"/>
                  <w:marRight w:val="0"/>
                  <w:marTop w:val="333"/>
                  <w:marBottom w:val="0"/>
                  <w:divBdr>
                    <w:top w:val="none" w:sz="0" w:space="0" w:color="auto"/>
                    <w:left w:val="none" w:sz="0" w:space="0" w:color="auto"/>
                    <w:bottom w:val="none" w:sz="0" w:space="0" w:color="auto"/>
                    <w:right w:val="none" w:sz="0" w:space="0" w:color="auto"/>
                  </w:divBdr>
                  <w:divsChild>
                    <w:div w:id="302277372">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056390932">
      <w:bodyDiv w:val="1"/>
      <w:marLeft w:val="0"/>
      <w:marRight w:val="0"/>
      <w:marTop w:val="0"/>
      <w:marBottom w:val="0"/>
      <w:divBdr>
        <w:top w:val="none" w:sz="0" w:space="0" w:color="auto"/>
        <w:left w:val="none" w:sz="0" w:space="0" w:color="auto"/>
        <w:bottom w:val="none" w:sz="0" w:space="0" w:color="auto"/>
        <w:right w:val="none" w:sz="0" w:space="0" w:color="auto"/>
      </w:divBdr>
      <w:divsChild>
        <w:div w:id="1513111371">
          <w:marLeft w:val="0"/>
          <w:marRight w:val="0"/>
          <w:marTop w:val="0"/>
          <w:marBottom w:val="0"/>
          <w:divBdr>
            <w:top w:val="none" w:sz="0" w:space="0" w:color="auto"/>
            <w:left w:val="none" w:sz="0" w:space="0" w:color="auto"/>
            <w:bottom w:val="none" w:sz="0" w:space="0" w:color="auto"/>
            <w:right w:val="none" w:sz="0" w:space="0" w:color="auto"/>
          </w:divBdr>
          <w:divsChild>
            <w:div w:id="352650439">
              <w:marLeft w:val="0"/>
              <w:marRight w:val="0"/>
              <w:marTop w:val="0"/>
              <w:marBottom w:val="0"/>
              <w:divBdr>
                <w:top w:val="none" w:sz="0" w:space="0" w:color="auto"/>
                <w:left w:val="none" w:sz="0" w:space="0" w:color="auto"/>
                <w:bottom w:val="none" w:sz="0" w:space="0" w:color="auto"/>
                <w:right w:val="none" w:sz="0" w:space="0" w:color="auto"/>
              </w:divBdr>
              <w:divsChild>
                <w:div w:id="1005205865">
                  <w:marLeft w:val="0"/>
                  <w:marRight w:val="0"/>
                  <w:marTop w:val="333"/>
                  <w:marBottom w:val="0"/>
                  <w:divBdr>
                    <w:top w:val="none" w:sz="0" w:space="0" w:color="auto"/>
                    <w:left w:val="none" w:sz="0" w:space="0" w:color="auto"/>
                    <w:bottom w:val="none" w:sz="0" w:space="0" w:color="auto"/>
                    <w:right w:val="none" w:sz="0" w:space="0" w:color="auto"/>
                  </w:divBdr>
                  <w:divsChild>
                    <w:div w:id="1390572880">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358384919">
      <w:bodyDiv w:val="1"/>
      <w:marLeft w:val="0"/>
      <w:marRight w:val="0"/>
      <w:marTop w:val="0"/>
      <w:marBottom w:val="0"/>
      <w:divBdr>
        <w:top w:val="none" w:sz="0" w:space="0" w:color="auto"/>
        <w:left w:val="none" w:sz="0" w:space="0" w:color="auto"/>
        <w:bottom w:val="none" w:sz="0" w:space="0" w:color="auto"/>
        <w:right w:val="none" w:sz="0" w:space="0" w:color="auto"/>
      </w:divBdr>
      <w:divsChild>
        <w:div w:id="1915620875">
          <w:marLeft w:val="0"/>
          <w:marRight w:val="0"/>
          <w:marTop w:val="0"/>
          <w:marBottom w:val="0"/>
          <w:divBdr>
            <w:top w:val="none" w:sz="0" w:space="0" w:color="auto"/>
            <w:left w:val="none" w:sz="0" w:space="0" w:color="auto"/>
            <w:bottom w:val="none" w:sz="0" w:space="0" w:color="auto"/>
            <w:right w:val="none" w:sz="0" w:space="0" w:color="auto"/>
          </w:divBdr>
          <w:divsChild>
            <w:div w:id="230847549">
              <w:marLeft w:val="0"/>
              <w:marRight w:val="0"/>
              <w:marTop w:val="0"/>
              <w:marBottom w:val="0"/>
              <w:divBdr>
                <w:top w:val="none" w:sz="0" w:space="0" w:color="auto"/>
                <w:left w:val="none" w:sz="0" w:space="0" w:color="auto"/>
                <w:bottom w:val="none" w:sz="0" w:space="0" w:color="auto"/>
                <w:right w:val="none" w:sz="0" w:space="0" w:color="auto"/>
              </w:divBdr>
              <w:divsChild>
                <w:div w:id="1816752206">
                  <w:marLeft w:val="0"/>
                  <w:marRight w:val="0"/>
                  <w:marTop w:val="333"/>
                  <w:marBottom w:val="0"/>
                  <w:divBdr>
                    <w:top w:val="none" w:sz="0" w:space="0" w:color="auto"/>
                    <w:left w:val="none" w:sz="0" w:space="0" w:color="auto"/>
                    <w:bottom w:val="none" w:sz="0" w:space="0" w:color="auto"/>
                    <w:right w:val="none" w:sz="0" w:space="0" w:color="auto"/>
                  </w:divBdr>
                  <w:divsChild>
                    <w:div w:id="1184132680">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arninggoals.undergrad.m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lucasjam</dc:creator>
  <cp:lastModifiedBy>Microsoft Office User</cp:lastModifiedBy>
  <cp:revision>2</cp:revision>
  <cp:lastPrinted>2014-04-18T15:31:00Z</cp:lastPrinted>
  <dcterms:created xsi:type="dcterms:W3CDTF">2018-06-26T19:38:00Z</dcterms:created>
  <dcterms:modified xsi:type="dcterms:W3CDTF">2018-06-26T19:38:00Z</dcterms:modified>
</cp:coreProperties>
</file>